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62" w:rsidRDefault="003A2862">
      <w:bookmarkStart w:id="0" w:name="_GoBack"/>
      <w:bookmarkEnd w:id="0"/>
    </w:p>
    <w:tbl>
      <w:tblPr>
        <w:tblpPr w:leftFromText="180" w:rightFromText="180" w:vertAnchor="text" w:horzAnchor="margin" w:tblpY="-415"/>
        <w:tblW w:w="10368" w:type="dxa"/>
        <w:tblLayout w:type="fixed"/>
        <w:tblLook w:val="01E0" w:firstRow="1" w:lastRow="1" w:firstColumn="1" w:lastColumn="1" w:noHBand="0" w:noVBand="0"/>
      </w:tblPr>
      <w:tblGrid>
        <w:gridCol w:w="6048"/>
        <w:gridCol w:w="4320"/>
      </w:tblGrid>
      <w:tr w:rsidR="003A2862" w:rsidTr="00AA6C8E">
        <w:trPr>
          <w:trHeight w:val="1083"/>
        </w:trPr>
        <w:tc>
          <w:tcPr>
            <w:tcW w:w="6048" w:type="dxa"/>
          </w:tcPr>
          <w:p w:rsidR="003A2862" w:rsidRDefault="003A2862" w:rsidP="00AA6C8E"/>
          <w:p w:rsidR="003A2862" w:rsidRDefault="003A2862" w:rsidP="00AA6C8E"/>
          <w:p w:rsidR="003A2862" w:rsidRDefault="003A2862" w:rsidP="00AA6C8E"/>
        </w:tc>
        <w:tc>
          <w:tcPr>
            <w:tcW w:w="4320" w:type="dxa"/>
          </w:tcPr>
          <w:p w:rsidR="003A2862" w:rsidRDefault="00991639" w:rsidP="00AA6C8E">
            <w:r>
              <w:drawing>
                <wp:inline distT="0" distB="0" distL="0" distR="0">
                  <wp:extent cx="2552700" cy="619125"/>
                  <wp:effectExtent l="0" t="0" r="0" b="9525"/>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19125"/>
                          </a:xfrm>
                          <a:prstGeom prst="rect">
                            <a:avLst/>
                          </a:prstGeom>
                          <a:noFill/>
                          <a:ln>
                            <a:noFill/>
                          </a:ln>
                        </pic:spPr>
                      </pic:pic>
                    </a:graphicData>
                  </a:graphic>
                </wp:inline>
              </w:drawing>
            </w:r>
          </w:p>
        </w:tc>
      </w:tr>
      <w:tr w:rsidR="003A2862" w:rsidTr="00AA6C8E">
        <w:trPr>
          <w:trHeight w:val="148"/>
        </w:trPr>
        <w:tc>
          <w:tcPr>
            <w:tcW w:w="6048" w:type="dxa"/>
            <w:vAlign w:val="center"/>
          </w:tcPr>
          <w:p w:rsidR="00ED32B7" w:rsidRPr="00592158" w:rsidRDefault="00ED32B7">
            <w:pPr>
              <w:rPr>
                <w:sz w:val="24"/>
                <w:szCs w:val="24"/>
              </w:rPr>
            </w:pPr>
          </w:p>
          <w:tbl>
            <w:tblPr>
              <w:tblW w:w="0" w:type="auto"/>
              <w:tblLayout w:type="fixed"/>
              <w:tblLook w:val="01E0" w:firstRow="1" w:lastRow="1" w:firstColumn="1" w:lastColumn="1" w:noHBand="0" w:noVBand="0"/>
            </w:tblPr>
            <w:tblGrid>
              <w:gridCol w:w="4428"/>
            </w:tblGrid>
            <w:tr w:rsidR="003A2862" w:rsidTr="00AA6C8E">
              <w:tc>
                <w:tcPr>
                  <w:tcW w:w="4428" w:type="dxa"/>
                </w:tcPr>
                <w:p w:rsidR="003A2862" w:rsidRPr="00AA6C8E" w:rsidRDefault="00592158" w:rsidP="00155B2A">
                  <w:pPr>
                    <w:framePr w:hSpace="180" w:wrap="around" w:vAnchor="text" w:hAnchor="margin" w:y="-415"/>
                    <w:overflowPunct/>
                    <w:autoSpaceDE/>
                    <w:autoSpaceDN/>
                    <w:adjustRightInd/>
                    <w:textAlignment w:val="auto"/>
                    <w:rPr>
                      <w:sz w:val="24"/>
                      <w:szCs w:val="24"/>
                    </w:rPr>
                  </w:pPr>
                  <w:r w:rsidRPr="00592158">
                    <w:rPr>
                      <w:sz w:val="24"/>
                      <w:szCs w:val="24"/>
                    </w:rPr>
                    <w:t>Bispemøtet</w:t>
                  </w:r>
                </w:p>
              </w:tc>
            </w:tr>
            <w:tr w:rsidR="003A2862" w:rsidTr="00AA6C8E">
              <w:tc>
                <w:tcPr>
                  <w:tcW w:w="4428" w:type="dxa"/>
                  <w:vAlign w:val="bottom"/>
                </w:tcPr>
                <w:p w:rsidR="003A2862" w:rsidRPr="00AA6C8E" w:rsidRDefault="003A2862" w:rsidP="00155B2A">
                  <w:pPr>
                    <w:framePr w:hSpace="180" w:wrap="around" w:vAnchor="text" w:hAnchor="margin" w:y="-415"/>
                    <w:rPr>
                      <w:sz w:val="24"/>
                      <w:szCs w:val="24"/>
                    </w:rPr>
                  </w:pPr>
                </w:p>
              </w:tc>
            </w:tr>
            <w:tr w:rsidR="003A2862" w:rsidTr="00AA6C8E">
              <w:tc>
                <w:tcPr>
                  <w:tcW w:w="4428" w:type="dxa"/>
                </w:tcPr>
                <w:p w:rsidR="003A2862" w:rsidRDefault="003A2862" w:rsidP="00155B2A">
                  <w:pPr>
                    <w:framePr w:hSpace="180" w:wrap="around" w:vAnchor="text" w:hAnchor="margin" w:y="-415"/>
                  </w:pPr>
                </w:p>
              </w:tc>
            </w:tr>
          </w:tbl>
          <w:p w:rsidR="003A2862" w:rsidRDefault="003A2862" w:rsidP="00AA6C8E"/>
        </w:tc>
        <w:tc>
          <w:tcPr>
            <w:tcW w:w="4320" w:type="dxa"/>
          </w:tcPr>
          <w:p w:rsidR="003A2862" w:rsidRDefault="00991639" w:rsidP="00AA6C8E">
            <w:pPr>
              <w:jc w:val="right"/>
            </w:pPr>
            <w:r>
              <w:drawing>
                <wp:inline distT="0" distB="0" distL="0" distR="0">
                  <wp:extent cx="1885950" cy="1419225"/>
                  <wp:effectExtent l="0" t="0" r="0" b="9525"/>
                  <wp:docPr id="2" name="Bilde 2" descr="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419225"/>
                          </a:xfrm>
                          <a:prstGeom prst="rect">
                            <a:avLst/>
                          </a:prstGeom>
                          <a:noFill/>
                          <a:ln>
                            <a:noFill/>
                          </a:ln>
                        </pic:spPr>
                      </pic:pic>
                    </a:graphicData>
                  </a:graphic>
                </wp:inline>
              </w:drawing>
            </w:r>
          </w:p>
        </w:tc>
      </w:tr>
    </w:tbl>
    <w:p w:rsidR="003A2862" w:rsidRDefault="003A2862" w:rsidP="003A2862"/>
    <w:p w:rsidR="003A2862" w:rsidRDefault="003A2862" w:rsidP="003A2862"/>
    <w:tbl>
      <w:tblPr>
        <w:tblW w:w="0" w:type="auto"/>
        <w:tblLook w:val="01E0" w:firstRow="1" w:lastRow="1" w:firstColumn="1" w:lastColumn="1" w:noHBand="0" w:noVBand="0"/>
      </w:tblPr>
      <w:tblGrid>
        <w:gridCol w:w="2303"/>
        <w:gridCol w:w="2303"/>
        <w:gridCol w:w="2303"/>
        <w:gridCol w:w="2303"/>
      </w:tblGrid>
      <w:tr w:rsidR="003A2862" w:rsidRPr="00AA6C8E" w:rsidTr="00AA6C8E">
        <w:tc>
          <w:tcPr>
            <w:tcW w:w="2303" w:type="dxa"/>
          </w:tcPr>
          <w:p w:rsidR="003A2862" w:rsidRPr="00AA6C8E" w:rsidRDefault="003A2862" w:rsidP="00E31415">
            <w:pPr>
              <w:rPr>
                <w:i/>
              </w:rPr>
            </w:pPr>
            <w:r w:rsidRPr="00AA6C8E">
              <w:rPr>
                <w:i/>
              </w:rPr>
              <w:t>Dato:</w:t>
            </w:r>
          </w:p>
        </w:tc>
        <w:tc>
          <w:tcPr>
            <w:tcW w:w="2303" w:type="dxa"/>
          </w:tcPr>
          <w:p w:rsidR="003A2862" w:rsidRPr="00AA6C8E" w:rsidRDefault="003A2862" w:rsidP="00E31415">
            <w:pPr>
              <w:rPr>
                <w:i/>
              </w:rPr>
            </w:pPr>
            <w:r w:rsidRPr="00AA6C8E">
              <w:rPr>
                <w:i/>
              </w:rPr>
              <w:t>Vår ref:</w:t>
            </w:r>
          </w:p>
        </w:tc>
        <w:tc>
          <w:tcPr>
            <w:tcW w:w="2303" w:type="dxa"/>
          </w:tcPr>
          <w:p w:rsidR="003A2862" w:rsidRPr="00AA6C8E" w:rsidRDefault="003A2862" w:rsidP="00E31415">
            <w:pPr>
              <w:rPr>
                <w:i/>
              </w:rPr>
            </w:pPr>
            <w:r w:rsidRPr="00AA6C8E">
              <w:rPr>
                <w:i/>
              </w:rPr>
              <w:t xml:space="preserve">Deres ref: </w:t>
            </w:r>
          </w:p>
        </w:tc>
        <w:tc>
          <w:tcPr>
            <w:tcW w:w="2303" w:type="dxa"/>
          </w:tcPr>
          <w:p w:rsidR="003A2862" w:rsidRPr="00AA6C8E" w:rsidRDefault="003A2862" w:rsidP="00E31415">
            <w:pPr>
              <w:rPr>
                <w:i/>
              </w:rPr>
            </w:pPr>
            <w:r w:rsidRPr="00AA6C8E">
              <w:rPr>
                <w:i/>
              </w:rPr>
              <w:t>Arkiv nr:</w:t>
            </w:r>
          </w:p>
        </w:tc>
      </w:tr>
      <w:tr w:rsidR="003A2862" w:rsidRPr="003A2862" w:rsidTr="00AA6C8E">
        <w:tc>
          <w:tcPr>
            <w:tcW w:w="2303" w:type="dxa"/>
          </w:tcPr>
          <w:p w:rsidR="003A2862" w:rsidRPr="003A2862" w:rsidRDefault="00154435" w:rsidP="00E31415">
            <w:r>
              <w:t>20</w:t>
            </w:r>
            <w:r w:rsidR="00AA0B9B">
              <w:t>.05</w:t>
            </w:r>
            <w:r w:rsidR="00E17DFD">
              <w:t>.2016</w:t>
            </w:r>
          </w:p>
        </w:tc>
        <w:tc>
          <w:tcPr>
            <w:tcW w:w="2303" w:type="dxa"/>
          </w:tcPr>
          <w:p w:rsidR="003A2862" w:rsidRPr="003A2862" w:rsidRDefault="005006CF" w:rsidP="00E31415">
            <w:r>
              <w:t>moe</w:t>
            </w:r>
          </w:p>
        </w:tc>
        <w:tc>
          <w:tcPr>
            <w:tcW w:w="2303" w:type="dxa"/>
          </w:tcPr>
          <w:p w:rsidR="003A2862" w:rsidRPr="003A2862" w:rsidRDefault="003A2862" w:rsidP="00E31415"/>
        </w:tc>
        <w:tc>
          <w:tcPr>
            <w:tcW w:w="2303" w:type="dxa"/>
          </w:tcPr>
          <w:p w:rsidR="003A2862" w:rsidRPr="003A2862" w:rsidRDefault="003A2862" w:rsidP="00E31415"/>
        </w:tc>
      </w:tr>
    </w:tbl>
    <w:p w:rsidR="003A2862" w:rsidRDefault="003A2862" w:rsidP="003A2862"/>
    <w:p w:rsidR="003A2862" w:rsidRDefault="003A2862" w:rsidP="003A2862"/>
    <w:p w:rsidR="00991639" w:rsidRPr="00991639" w:rsidRDefault="00991639" w:rsidP="00991639">
      <w:pPr>
        <w:rPr>
          <w:b/>
          <w:noProof w:val="0"/>
          <w:sz w:val="23"/>
          <w:szCs w:val="23"/>
        </w:rPr>
      </w:pPr>
      <w:r w:rsidRPr="00991639">
        <w:rPr>
          <w:b/>
          <w:noProof w:val="0"/>
          <w:sz w:val="23"/>
          <w:szCs w:val="23"/>
        </w:rPr>
        <w:t>Ang veiledning</w:t>
      </w:r>
      <w:r w:rsidR="00AA0B9B">
        <w:rPr>
          <w:b/>
          <w:noProof w:val="0"/>
          <w:sz w:val="23"/>
          <w:szCs w:val="23"/>
        </w:rPr>
        <w:t>er fra Bispemøtet</w:t>
      </w:r>
    </w:p>
    <w:p w:rsidR="00991639" w:rsidRPr="00991639" w:rsidRDefault="00991639" w:rsidP="00991639">
      <w:pPr>
        <w:rPr>
          <w:b/>
          <w:noProof w:val="0"/>
          <w:sz w:val="23"/>
          <w:szCs w:val="23"/>
        </w:rPr>
      </w:pPr>
    </w:p>
    <w:p w:rsidR="00991639" w:rsidRPr="00991639" w:rsidRDefault="00991639" w:rsidP="00991639">
      <w:pPr>
        <w:rPr>
          <w:noProof w:val="0"/>
          <w:sz w:val="23"/>
          <w:szCs w:val="23"/>
        </w:rPr>
      </w:pPr>
      <w:r w:rsidRPr="00991639">
        <w:rPr>
          <w:noProof w:val="0"/>
          <w:sz w:val="23"/>
          <w:szCs w:val="23"/>
        </w:rPr>
        <w:t xml:space="preserve">Bispemøtet har nylig gitt ut tre veiledninger: «Dåp av asylsøkere», «Religionsmøtet ved kirkelige handlinger» og «Om privat prestetjeneste». </w:t>
      </w:r>
      <w:r w:rsidR="00073E16">
        <w:rPr>
          <w:noProof w:val="0"/>
          <w:sz w:val="23"/>
          <w:szCs w:val="23"/>
        </w:rPr>
        <w:t>Presteforeni</w:t>
      </w:r>
      <w:r w:rsidR="00A65B87">
        <w:rPr>
          <w:noProof w:val="0"/>
          <w:sz w:val="23"/>
          <w:szCs w:val="23"/>
        </w:rPr>
        <w:t>n</w:t>
      </w:r>
      <w:r w:rsidR="00AA0B9B">
        <w:rPr>
          <w:noProof w:val="0"/>
          <w:sz w:val="23"/>
          <w:szCs w:val="23"/>
        </w:rPr>
        <w:t>gen har aller</w:t>
      </w:r>
      <w:r w:rsidR="00A65B87">
        <w:rPr>
          <w:noProof w:val="0"/>
          <w:sz w:val="23"/>
          <w:szCs w:val="23"/>
        </w:rPr>
        <w:t>e</w:t>
      </w:r>
      <w:r w:rsidR="00AA0B9B">
        <w:rPr>
          <w:noProof w:val="0"/>
          <w:sz w:val="23"/>
          <w:szCs w:val="23"/>
        </w:rPr>
        <w:t>de i brev av 22.04.16 uttrykt noen synspunkter på sistnevnte. Sentralstyret har nå lest og drøftet de to andre veiledningene, og P</w:t>
      </w:r>
      <w:r w:rsidRPr="00991639">
        <w:rPr>
          <w:noProof w:val="0"/>
          <w:sz w:val="23"/>
          <w:szCs w:val="23"/>
        </w:rPr>
        <w:t xml:space="preserve">resteforeningen har noen spørsmål og synspunkter i </w:t>
      </w:r>
      <w:r w:rsidR="00AA0B9B">
        <w:rPr>
          <w:noProof w:val="0"/>
          <w:sz w:val="23"/>
          <w:szCs w:val="23"/>
        </w:rPr>
        <w:t>forlengelsen av dette.</w:t>
      </w:r>
    </w:p>
    <w:p w:rsidR="00991639" w:rsidRPr="00991639" w:rsidRDefault="00991639" w:rsidP="00991639">
      <w:pPr>
        <w:rPr>
          <w:noProof w:val="0"/>
          <w:sz w:val="23"/>
          <w:szCs w:val="23"/>
        </w:rPr>
      </w:pPr>
    </w:p>
    <w:p w:rsidR="00B23CE0" w:rsidRDefault="00AA0B9B" w:rsidP="00991639">
      <w:pPr>
        <w:rPr>
          <w:noProof w:val="0"/>
          <w:sz w:val="23"/>
          <w:szCs w:val="23"/>
        </w:rPr>
      </w:pPr>
      <w:r>
        <w:rPr>
          <w:noProof w:val="0"/>
          <w:sz w:val="23"/>
          <w:szCs w:val="23"/>
        </w:rPr>
        <w:t xml:space="preserve">Vi stiller samme spørsmål til de to veiledningene som til vedtaket om privat prestetjeneste: </w:t>
      </w:r>
      <w:r w:rsidR="00991639" w:rsidRPr="00991639">
        <w:rPr>
          <w:noProof w:val="0"/>
          <w:sz w:val="23"/>
          <w:szCs w:val="23"/>
        </w:rPr>
        <w:t xml:space="preserve">Hvilken kirkerettslig status har denne typen veiledninger? Hvordan binder de prester og/eller biskoper i deres tjeneste? </w:t>
      </w:r>
    </w:p>
    <w:p w:rsidR="00B23CE0" w:rsidRDefault="00B23CE0" w:rsidP="00991639">
      <w:pPr>
        <w:rPr>
          <w:noProof w:val="0"/>
          <w:sz w:val="23"/>
          <w:szCs w:val="23"/>
        </w:rPr>
      </w:pPr>
    </w:p>
    <w:p w:rsidR="00B23CE0" w:rsidRDefault="00B23CE0" w:rsidP="00991639">
      <w:pPr>
        <w:rPr>
          <w:noProof w:val="0"/>
          <w:sz w:val="23"/>
          <w:szCs w:val="23"/>
        </w:rPr>
      </w:pPr>
      <w:r>
        <w:rPr>
          <w:noProof w:val="0"/>
          <w:sz w:val="23"/>
          <w:szCs w:val="23"/>
        </w:rPr>
        <w:t xml:space="preserve">Vi forutsetter at </w:t>
      </w:r>
      <w:r w:rsidRPr="00991639">
        <w:rPr>
          <w:noProof w:val="0"/>
          <w:sz w:val="23"/>
          <w:szCs w:val="23"/>
        </w:rPr>
        <w:t>Bispemøtet ikke gjennom veiledninger mener å utfordre prestens profesjonelle og faglige selvstendighet i tjenesteutøvelsen</w:t>
      </w:r>
      <w:r>
        <w:rPr>
          <w:noProof w:val="0"/>
          <w:sz w:val="23"/>
          <w:szCs w:val="23"/>
        </w:rPr>
        <w:t>, og veiledningene selv forutsetter</w:t>
      </w:r>
      <w:r w:rsidRPr="00AA0B9B">
        <w:rPr>
          <w:noProof w:val="0"/>
          <w:sz w:val="23"/>
          <w:szCs w:val="23"/>
        </w:rPr>
        <w:t xml:space="preserve"> </w:t>
      </w:r>
      <w:r>
        <w:rPr>
          <w:noProof w:val="0"/>
          <w:sz w:val="23"/>
          <w:szCs w:val="23"/>
        </w:rPr>
        <w:t xml:space="preserve">også </w:t>
      </w:r>
      <w:r w:rsidRPr="00991639">
        <w:rPr>
          <w:noProof w:val="0"/>
          <w:sz w:val="23"/>
          <w:szCs w:val="23"/>
        </w:rPr>
        <w:t>at en kontekstuelt basert faglig skjønnsutøvelse stadig må foregå i lokale, kirkelige enkeltsaker.</w:t>
      </w:r>
      <w:r>
        <w:rPr>
          <w:noProof w:val="0"/>
          <w:sz w:val="23"/>
          <w:szCs w:val="23"/>
        </w:rPr>
        <w:t xml:space="preserve"> </w:t>
      </w:r>
      <w:r w:rsidR="00AA0B9B">
        <w:rPr>
          <w:noProof w:val="0"/>
          <w:sz w:val="23"/>
          <w:szCs w:val="23"/>
        </w:rPr>
        <w:t xml:space="preserve">Som tidligere anført antar </w:t>
      </w:r>
      <w:r w:rsidR="00991639" w:rsidRPr="00991639">
        <w:rPr>
          <w:noProof w:val="0"/>
          <w:sz w:val="23"/>
          <w:szCs w:val="23"/>
        </w:rPr>
        <w:t xml:space="preserve">Presteforeningen </w:t>
      </w:r>
      <w:r>
        <w:rPr>
          <w:noProof w:val="0"/>
          <w:sz w:val="23"/>
          <w:szCs w:val="23"/>
        </w:rPr>
        <w:t xml:space="preserve">derfor </w:t>
      </w:r>
      <w:r w:rsidR="00991639" w:rsidRPr="00991639">
        <w:rPr>
          <w:noProof w:val="0"/>
          <w:sz w:val="23"/>
          <w:szCs w:val="23"/>
        </w:rPr>
        <w:t>at veiledningene sett fra biskopenes ståsted er et kollegialt uttrykk for utøvelse av tilsyn, og altså forteller ansatte og menigheter hvordan de kan forvente å bli møtt av tilsynet i sakene som tas opp. De blir dermed også in</w:t>
      </w:r>
      <w:r w:rsidR="00991639" w:rsidRPr="00991639">
        <w:rPr>
          <w:noProof w:val="0"/>
          <w:sz w:val="23"/>
          <w:szCs w:val="23"/>
        </w:rPr>
        <w:lastRenderedPageBreak/>
        <w:t xml:space="preserve">direkte en veiledning (når det gjelder prestene) til hvordan den enkelte prest utøver sitt pastorale skjønn. </w:t>
      </w:r>
      <w:r>
        <w:rPr>
          <w:noProof w:val="0"/>
          <w:sz w:val="23"/>
          <w:szCs w:val="23"/>
        </w:rPr>
        <w:t xml:space="preserve">Men er de en veiledning, eller ønsker de å være noe mer og tydeligere? </w:t>
      </w:r>
      <w:r w:rsidR="00AA0B9B">
        <w:rPr>
          <w:noProof w:val="0"/>
          <w:sz w:val="23"/>
          <w:szCs w:val="23"/>
        </w:rPr>
        <w:t xml:space="preserve">Ser biskopene dermed for seg at det kan reises tilsynssak med basis i den enkelte veiledning? </w:t>
      </w:r>
    </w:p>
    <w:p w:rsidR="00B23CE0" w:rsidRDefault="00B23CE0" w:rsidP="00991639">
      <w:pPr>
        <w:rPr>
          <w:noProof w:val="0"/>
          <w:sz w:val="23"/>
          <w:szCs w:val="23"/>
        </w:rPr>
      </w:pPr>
    </w:p>
    <w:p w:rsidR="00AA0B9B" w:rsidRDefault="00073E16" w:rsidP="00991639">
      <w:pPr>
        <w:rPr>
          <w:noProof w:val="0"/>
          <w:sz w:val="23"/>
          <w:szCs w:val="23"/>
        </w:rPr>
      </w:pPr>
      <w:r>
        <w:rPr>
          <w:noProof w:val="0"/>
          <w:sz w:val="23"/>
          <w:szCs w:val="23"/>
        </w:rPr>
        <w:t xml:space="preserve">Et </w:t>
      </w:r>
      <w:r w:rsidR="0058267B">
        <w:rPr>
          <w:noProof w:val="0"/>
          <w:sz w:val="23"/>
          <w:szCs w:val="23"/>
        </w:rPr>
        <w:t xml:space="preserve">annet </w:t>
      </w:r>
      <w:r>
        <w:rPr>
          <w:noProof w:val="0"/>
          <w:sz w:val="23"/>
          <w:szCs w:val="23"/>
        </w:rPr>
        <w:t xml:space="preserve">aspekt som særlig gjelder veiledningen om religionsmøtet er at den legger til grunn en bestemt forståelse av forholdet mellom vår egen tro og andre religioner, selv om dette ikke er tydelig uttrykt. </w:t>
      </w:r>
      <w:r w:rsidR="00A97186">
        <w:rPr>
          <w:noProof w:val="0"/>
          <w:sz w:val="23"/>
          <w:szCs w:val="23"/>
        </w:rPr>
        <w:t>Presteforeningens</w:t>
      </w:r>
      <w:r w:rsidR="00A65B87">
        <w:rPr>
          <w:noProof w:val="0"/>
          <w:sz w:val="23"/>
          <w:szCs w:val="23"/>
        </w:rPr>
        <w:t xml:space="preserve"> medlemsmasse preges av et mang</w:t>
      </w:r>
      <w:r w:rsidR="00A97186">
        <w:rPr>
          <w:noProof w:val="0"/>
          <w:sz w:val="23"/>
          <w:szCs w:val="23"/>
        </w:rPr>
        <w:t>fold av religionsteologiske ståsteder</w:t>
      </w:r>
      <w:r w:rsidR="00B23CE0">
        <w:rPr>
          <w:noProof w:val="0"/>
          <w:sz w:val="23"/>
          <w:szCs w:val="23"/>
        </w:rPr>
        <w:t xml:space="preserve">, uten at dette </w:t>
      </w:r>
      <w:r w:rsidR="0058267B">
        <w:rPr>
          <w:noProof w:val="0"/>
          <w:sz w:val="23"/>
          <w:szCs w:val="23"/>
        </w:rPr>
        <w:t>så langt har vært sett</w:t>
      </w:r>
      <w:r w:rsidR="00B23CE0">
        <w:rPr>
          <w:noProof w:val="0"/>
          <w:sz w:val="23"/>
          <w:szCs w:val="23"/>
        </w:rPr>
        <w:t xml:space="preserve"> som pr</w:t>
      </w:r>
      <w:r w:rsidR="00A97186">
        <w:rPr>
          <w:noProof w:val="0"/>
          <w:sz w:val="23"/>
          <w:szCs w:val="23"/>
        </w:rPr>
        <w:t>oblematisk</w:t>
      </w:r>
      <w:r w:rsidR="00B23CE0">
        <w:rPr>
          <w:noProof w:val="0"/>
          <w:sz w:val="23"/>
          <w:szCs w:val="23"/>
        </w:rPr>
        <w:t xml:space="preserve"> for vår kirkelige virksomhet og vårt fellesskap</w:t>
      </w:r>
      <w:r w:rsidR="00A97186">
        <w:rPr>
          <w:noProof w:val="0"/>
          <w:sz w:val="23"/>
          <w:szCs w:val="23"/>
        </w:rPr>
        <w:t xml:space="preserve">. Her er det også interessant å merke seg at det i Kirkemøtets sakspapir til saken KM 15/12 </w:t>
      </w:r>
      <w:r w:rsidR="0058267B">
        <w:rPr>
          <w:noProof w:val="0"/>
          <w:sz w:val="23"/>
          <w:szCs w:val="23"/>
        </w:rPr>
        <w:t>«</w:t>
      </w:r>
      <w:r w:rsidR="00A97186">
        <w:rPr>
          <w:noProof w:val="0"/>
          <w:sz w:val="23"/>
          <w:szCs w:val="23"/>
        </w:rPr>
        <w:t>Religionsmøte og dialog</w:t>
      </w:r>
      <w:r w:rsidR="0058267B">
        <w:rPr>
          <w:noProof w:val="0"/>
          <w:sz w:val="23"/>
          <w:szCs w:val="23"/>
        </w:rPr>
        <w:t>»</w:t>
      </w:r>
      <w:r w:rsidR="00A97186">
        <w:rPr>
          <w:noProof w:val="0"/>
          <w:sz w:val="23"/>
          <w:szCs w:val="23"/>
        </w:rPr>
        <w:t xml:space="preserve"> sies eksplisitt at vi lever i en kirke med et mangfold av synspunkter i dette feltet: </w:t>
      </w:r>
      <w:r w:rsidR="00A97186" w:rsidRPr="00A97186">
        <w:rPr>
          <w:noProof w:val="0"/>
          <w:sz w:val="23"/>
          <w:szCs w:val="23"/>
        </w:rPr>
        <w:t>«Kirkemøtesaken har ikke som mål å utmeisle teologi om Den norske kirkes syn på andre religioner, og det er neppe ønskelig, for her finnes det ulike synspunkter og tilnærminger.»</w:t>
      </w:r>
      <w:r w:rsidR="00A97186">
        <w:rPr>
          <w:noProof w:val="0"/>
          <w:sz w:val="23"/>
          <w:szCs w:val="23"/>
        </w:rPr>
        <w:t xml:space="preserve"> </w:t>
      </w:r>
      <w:r w:rsidR="0058267B">
        <w:rPr>
          <w:noProof w:val="0"/>
          <w:sz w:val="23"/>
          <w:szCs w:val="23"/>
        </w:rPr>
        <w:t xml:space="preserve">Det er mulig å lese en viss forskjell i tilnærmingen mellom Bispemøtet og Kirkemøtet. </w:t>
      </w:r>
      <w:r w:rsidR="00AA0B9B">
        <w:rPr>
          <w:noProof w:val="0"/>
          <w:sz w:val="23"/>
          <w:szCs w:val="23"/>
        </w:rPr>
        <w:t xml:space="preserve">Vi ønsker oss </w:t>
      </w:r>
      <w:r w:rsidR="0058267B">
        <w:rPr>
          <w:noProof w:val="0"/>
          <w:sz w:val="23"/>
          <w:szCs w:val="23"/>
        </w:rPr>
        <w:t xml:space="preserve">også </w:t>
      </w:r>
      <w:r w:rsidR="00A97186">
        <w:rPr>
          <w:noProof w:val="0"/>
          <w:sz w:val="23"/>
          <w:szCs w:val="23"/>
        </w:rPr>
        <w:t xml:space="preserve">på bakgrunn av dette </w:t>
      </w:r>
      <w:r w:rsidR="00AA0B9B">
        <w:rPr>
          <w:noProof w:val="0"/>
          <w:sz w:val="23"/>
          <w:szCs w:val="23"/>
        </w:rPr>
        <w:t>en tydeligere tale om hvordan disse veiledningene er å forstå.</w:t>
      </w:r>
    </w:p>
    <w:p w:rsidR="00AA0B9B" w:rsidRDefault="00AA0B9B" w:rsidP="00991639">
      <w:pPr>
        <w:rPr>
          <w:noProof w:val="0"/>
          <w:sz w:val="23"/>
          <w:szCs w:val="23"/>
        </w:rPr>
      </w:pPr>
    </w:p>
    <w:p w:rsidR="00A65B87" w:rsidRDefault="0046097E" w:rsidP="00991639">
      <w:pPr>
        <w:rPr>
          <w:noProof w:val="0"/>
          <w:sz w:val="23"/>
          <w:szCs w:val="23"/>
        </w:rPr>
      </w:pPr>
      <w:r>
        <w:rPr>
          <w:noProof w:val="0"/>
          <w:sz w:val="23"/>
          <w:szCs w:val="23"/>
        </w:rPr>
        <w:t xml:space="preserve">Presteforeningen tror denne typen veiledninger kan bli viktige og interessante hvis de fastholdes som nettopp veiledninger – en støtte til å utøve godt skjønn i den enkelte situasjon. Vi tror imidlertid </w:t>
      </w:r>
      <w:r w:rsidR="00073E16">
        <w:rPr>
          <w:noProof w:val="0"/>
          <w:sz w:val="23"/>
          <w:szCs w:val="23"/>
        </w:rPr>
        <w:t xml:space="preserve">særlig </w:t>
      </w:r>
      <w:r>
        <w:rPr>
          <w:noProof w:val="0"/>
          <w:sz w:val="23"/>
          <w:szCs w:val="23"/>
        </w:rPr>
        <w:t>veiledningen om religionsmøtet bør stå i dialog med annen refleksjon. Vi har fått reaksjoner tilbake fra prester som mener veiledningens synspunkter ikke er h</w:t>
      </w:r>
      <w:r w:rsidR="0058267B">
        <w:rPr>
          <w:noProof w:val="0"/>
          <w:sz w:val="23"/>
          <w:szCs w:val="23"/>
        </w:rPr>
        <w:t>elt treffende i møte med de utf</w:t>
      </w:r>
      <w:r>
        <w:rPr>
          <w:noProof w:val="0"/>
          <w:sz w:val="23"/>
          <w:szCs w:val="23"/>
        </w:rPr>
        <w:t xml:space="preserve">ordringene de møter i praksis. </w:t>
      </w:r>
      <w:r w:rsidR="000C176E">
        <w:rPr>
          <w:noProof w:val="0"/>
          <w:sz w:val="23"/>
          <w:szCs w:val="23"/>
        </w:rPr>
        <w:t>V</w:t>
      </w:r>
      <w:r w:rsidR="000C176E" w:rsidRPr="000C176E">
        <w:rPr>
          <w:noProof w:val="0"/>
          <w:sz w:val="23"/>
          <w:szCs w:val="23"/>
        </w:rPr>
        <w:t xml:space="preserve">eiledningen reflekterer </w:t>
      </w:r>
      <w:r w:rsidR="000C176E">
        <w:rPr>
          <w:noProof w:val="0"/>
          <w:sz w:val="23"/>
          <w:szCs w:val="23"/>
        </w:rPr>
        <w:t xml:space="preserve">dessuten </w:t>
      </w:r>
      <w:r w:rsidR="000C176E" w:rsidRPr="000C176E">
        <w:rPr>
          <w:noProof w:val="0"/>
          <w:sz w:val="23"/>
          <w:szCs w:val="23"/>
        </w:rPr>
        <w:t>i liten grad at Den norske kirke representerer majoritetskulturen og majoritetsrel</w:t>
      </w:r>
      <w:r w:rsidR="000C176E">
        <w:rPr>
          <w:noProof w:val="0"/>
          <w:sz w:val="23"/>
          <w:szCs w:val="23"/>
        </w:rPr>
        <w:t>i</w:t>
      </w:r>
      <w:r w:rsidR="000C176E" w:rsidRPr="000C176E">
        <w:rPr>
          <w:noProof w:val="0"/>
          <w:sz w:val="23"/>
          <w:szCs w:val="23"/>
        </w:rPr>
        <w:t>gionen</w:t>
      </w:r>
      <w:r w:rsidR="00A65B87">
        <w:rPr>
          <w:noProof w:val="0"/>
          <w:sz w:val="23"/>
          <w:szCs w:val="23"/>
        </w:rPr>
        <w:t>,</w:t>
      </w:r>
      <w:r w:rsidR="000C176E" w:rsidRPr="000C176E">
        <w:rPr>
          <w:noProof w:val="0"/>
          <w:sz w:val="23"/>
          <w:szCs w:val="23"/>
        </w:rPr>
        <w:t xml:space="preserve"> og at det derfor også er en skjev maktrelasjon i </w:t>
      </w:r>
      <w:r w:rsidR="000C176E">
        <w:rPr>
          <w:noProof w:val="0"/>
          <w:sz w:val="23"/>
          <w:szCs w:val="23"/>
        </w:rPr>
        <w:t>religions</w:t>
      </w:r>
      <w:r w:rsidR="000C176E" w:rsidRPr="000C176E">
        <w:rPr>
          <w:noProof w:val="0"/>
          <w:sz w:val="23"/>
          <w:szCs w:val="23"/>
        </w:rPr>
        <w:t>møte</w:t>
      </w:r>
      <w:r w:rsidR="00A65B87">
        <w:rPr>
          <w:noProof w:val="0"/>
          <w:sz w:val="23"/>
          <w:szCs w:val="23"/>
        </w:rPr>
        <w:t>ne veiledningen fok</w:t>
      </w:r>
      <w:r w:rsidR="000C176E">
        <w:rPr>
          <w:noProof w:val="0"/>
          <w:sz w:val="23"/>
          <w:szCs w:val="23"/>
        </w:rPr>
        <w:t>userer på</w:t>
      </w:r>
      <w:r w:rsidR="000C176E" w:rsidRPr="000C176E">
        <w:rPr>
          <w:noProof w:val="0"/>
          <w:sz w:val="23"/>
          <w:szCs w:val="23"/>
        </w:rPr>
        <w:t xml:space="preserve">. </w:t>
      </w:r>
      <w:r w:rsidR="000C176E">
        <w:rPr>
          <w:noProof w:val="0"/>
          <w:sz w:val="23"/>
          <w:szCs w:val="23"/>
        </w:rPr>
        <w:t>Dette blir særlig utfordrende når det gjelder begravelser. Mange steder vil disse situasjonene spisses ytterligere til ved at det skjer</w:t>
      </w:r>
      <w:r w:rsidR="000C176E" w:rsidRPr="000C176E">
        <w:rPr>
          <w:noProof w:val="0"/>
          <w:sz w:val="23"/>
          <w:szCs w:val="23"/>
        </w:rPr>
        <w:t xml:space="preserve"> i bygder </w:t>
      </w:r>
      <w:r w:rsidR="000C176E">
        <w:rPr>
          <w:noProof w:val="0"/>
          <w:sz w:val="23"/>
          <w:szCs w:val="23"/>
        </w:rPr>
        <w:t>og på steder der det bor få</w:t>
      </w:r>
      <w:r w:rsidR="00A65B87">
        <w:rPr>
          <w:noProof w:val="0"/>
          <w:sz w:val="23"/>
          <w:szCs w:val="23"/>
        </w:rPr>
        <w:t xml:space="preserve"> fra andre reli</w:t>
      </w:r>
      <w:r w:rsidR="000C176E">
        <w:rPr>
          <w:noProof w:val="0"/>
          <w:sz w:val="23"/>
          <w:szCs w:val="23"/>
        </w:rPr>
        <w:t>g</w:t>
      </w:r>
      <w:r w:rsidR="00A65B87">
        <w:rPr>
          <w:noProof w:val="0"/>
          <w:sz w:val="23"/>
          <w:szCs w:val="23"/>
        </w:rPr>
        <w:t>i</w:t>
      </w:r>
      <w:r w:rsidR="000C176E">
        <w:rPr>
          <w:noProof w:val="0"/>
          <w:sz w:val="23"/>
          <w:szCs w:val="23"/>
        </w:rPr>
        <w:t xml:space="preserve">oner. </w:t>
      </w:r>
      <w:r w:rsidR="000C176E" w:rsidRPr="000C176E">
        <w:rPr>
          <w:noProof w:val="0"/>
          <w:sz w:val="23"/>
          <w:szCs w:val="23"/>
        </w:rPr>
        <w:t>Å la f.eks</w:t>
      </w:r>
      <w:r w:rsidR="00761C7B">
        <w:rPr>
          <w:noProof w:val="0"/>
          <w:sz w:val="23"/>
          <w:szCs w:val="23"/>
        </w:rPr>
        <w:t>.</w:t>
      </w:r>
      <w:r w:rsidR="000C176E" w:rsidRPr="000C176E">
        <w:rPr>
          <w:noProof w:val="0"/>
          <w:sz w:val="23"/>
          <w:szCs w:val="23"/>
        </w:rPr>
        <w:t xml:space="preserve"> en ektefelle få legge noe inn i ser</w:t>
      </w:r>
      <w:r w:rsidR="00A65B87">
        <w:rPr>
          <w:noProof w:val="0"/>
          <w:sz w:val="23"/>
          <w:szCs w:val="23"/>
        </w:rPr>
        <w:t>e</w:t>
      </w:r>
      <w:r w:rsidR="000C176E" w:rsidRPr="000C176E">
        <w:rPr>
          <w:noProof w:val="0"/>
          <w:sz w:val="23"/>
          <w:szCs w:val="23"/>
        </w:rPr>
        <w:t xml:space="preserve">monien som gir gjenkjennelse og trygghet ut fra egen tro og kultur </w:t>
      </w:r>
      <w:r w:rsidR="000C176E">
        <w:rPr>
          <w:noProof w:val="0"/>
          <w:sz w:val="23"/>
          <w:szCs w:val="23"/>
        </w:rPr>
        <w:t xml:space="preserve">kan </w:t>
      </w:r>
      <w:r w:rsidR="000C176E" w:rsidRPr="000C176E">
        <w:rPr>
          <w:noProof w:val="0"/>
          <w:sz w:val="23"/>
          <w:szCs w:val="23"/>
        </w:rPr>
        <w:t xml:space="preserve">ikke </w:t>
      </w:r>
      <w:r w:rsidR="000C176E" w:rsidRPr="000C176E">
        <w:rPr>
          <w:noProof w:val="0"/>
          <w:sz w:val="23"/>
          <w:szCs w:val="23"/>
        </w:rPr>
        <w:lastRenderedPageBreak/>
        <w:t>utelukken</w:t>
      </w:r>
      <w:r w:rsidR="00A65B87">
        <w:rPr>
          <w:noProof w:val="0"/>
          <w:sz w:val="23"/>
          <w:szCs w:val="23"/>
        </w:rPr>
        <w:t xml:space="preserve">de forstås som et religionsmøte. Situasjonen </w:t>
      </w:r>
      <w:r w:rsidR="000C176E" w:rsidRPr="000C176E">
        <w:rPr>
          <w:noProof w:val="0"/>
          <w:sz w:val="23"/>
          <w:szCs w:val="23"/>
        </w:rPr>
        <w:t xml:space="preserve">har klare sjelesørgeriske aspekter som presten bør ta hensyn til. </w:t>
      </w:r>
      <w:r>
        <w:rPr>
          <w:noProof w:val="0"/>
          <w:sz w:val="23"/>
          <w:szCs w:val="23"/>
        </w:rPr>
        <w:t xml:space="preserve">Andre </w:t>
      </w:r>
      <w:r w:rsidR="000C176E">
        <w:rPr>
          <w:noProof w:val="0"/>
          <w:sz w:val="23"/>
          <w:szCs w:val="23"/>
        </w:rPr>
        <w:t xml:space="preserve">kommentarer </w:t>
      </w:r>
      <w:r>
        <w:rPr>
          <w:noProof w:val="0"/>
          <w:sz w:val="23"/>
          <w:szCs w:val="23"/>
        </w:rPr>
        <w:t>har påpekt at veiledningens religionsteol</w:t>
      </w:r>
      <w:r w:rsidR="00A65B87">
        <w:rPr>
          <w:noProof w:val="0"/>
          <w:sz w:val="23"/>
          <w:szCs w:val="23"/>
        </w:rPr>
        <w:t>o</w:t>
      </w:r>
      <w:r>
        <w:rPr>
          <w:noProof w:val="0"/>
          <w:sz w:val="23"/>
          <w:szCs w:val="23"/>
        </w:rPr>
        <w:t xml:space="preserve">giske ståsted er vel mye preget en eksklusivistisk holdning til andre religioner, og mindre har latt seg påvirke av holdningene som </w:t>
      </w:r>
      <w:r w:rsidR="003526C2">
        <w:rPr>
          <w:noProof w:val="0"/>
          <w:sz w:val="23"/>
          <w:szCs w:val="23"/>
        </w:rPr>
        <w:t xml:space="preserve">styrer </w:t>
      </w:r>
      <w:r>
        <w:rPr>
          <w:noProof w:val="0"/>
          <w:sz w:val="23"/>
          <w:szCs w:val="23"/>
        </w:rPr>
        <w:t xml:space="preserve">mye av dialogarbeidet i vår kirke i dag. </w:t>
      </w:r>
    </w:p>
    <w:p w:rsidR="00A65B87" w:rsidRDefault="00A65B87" w:rsidP="00991639">
      <w:pPr>
        <w:rPr>
          <w:noProof w:val="0"/>
          <w:sz w:val="23"/>
          <w:szCs w:val="23"/>
        </w:rPr>
      </w:pPr>
    </w:p>
    <w:p w:rsidR="00AA0B9B" w:rsidRDefault="00AA0B9B" w:rsidP="00991639">
      <w:pPr>
        <w:rPr>
          <w:noProof w:val="0"/>
          <w:sz w:val="23"/>
          <w:szCs w:val="23"/>
        </w:rPr>
      </w:pPr>
      <w:r>
        <w:rPr>
          <w:noProof w:val="0"/>
          <w:sz w:val="23"/>
          <w:szCs w:val="23"/>
        </w:rPr>
        <w:t xml:space="preserve">Veiledningene er kommet ut samtidig med boka «Dialogteologi på norsk», med forord og anbefaling fra Stavanger biskop. Denne er av Kirkemøtet anbefalt til videre studier sammen med veiledningen </w:t>
      </w:r>
      <w:r w:rsidRPr="00AA0B9B">
        <w:rPr>
          <w:noProof w:val="0"/>
          <w:sz w:val="23"/>
          <w:szCs w:val="23"/>
        </w:rPr>
        <w:t>«Religionsmøtet ved kirkelige handlinger»</w:t>
      </w:r>
      <w:r>
        <w:rPr>
          <w:noProof w:val="0"/>
          <w:sz w:val="23"/>
          <w:szCs w:val="23"/>
        </w:rPr>
        <w:t>.</w:t>
      </w:r>
      <w:r w:rsidR="0046097E">
        <w:rPr>
          <w:noProof w:val="0"/>
          <w:sz w:val="23"/>
          <w:szCs w:val="23"/>
        </w:rPr>
        <w:t xml:space="preserve"> Vi håper Bispemøtet vil støtte opp om arbeid </w:t>
      </w:r>
      <w:r w:rsidR="00073E16">
        <w:rPr>
          <w:noProof w:val="0"/>
          <w:sz w:val="23"/>
          <w:szCs w:val="23"/>
        </w:rPr>
        <w:t xml:space="preserve">med utvikling av </w:t>
      </w:r>
      <w:r w:rsidR="00A65B87">
        <w:rPr>
          <w:noProof w:val="0"/>
          <w:sz w:val="23"/>
          <w:szCs w:val="23"/>
        </w:rPr>
        <w:t>studiemateriell</w:t>
      </w:r>
      <w:r w:rsidR="00073E16">
        <w:rPr>
          <w:noProof w:val="0"/>
          <w:sz w:val="23"/>
          <w:szCs w:val="23"/>
        </w:rPr>
        <w:t xml:space="preserve"> </w:t>
      </w:r>
      <w:r w:rsidR="0046097E">
        <w:rPr>
          <w:noProof w:val="0"/>
          <w:sz w:val="23"/>
          <w:szCs w:val="23"/>
        </w:rPr>
        <w:t xml:space="preserve">med basis i materialet </w:t>
      </w:r>
      <w:r w:rsidR="00073E16">
        <w:rPr>
          <w:noProof w:val="0"/>
          <w:sz w:val="23"/>
          <w:szCs w:val="23"/>
        </w:rPr>
        <w:t xml:space="preserve">både i veiledningen og </w:t>
      </w:r>
      <w:r w:rsidR="0046097E">
        <w:rPr>
          <w:noProof w:val="0"/>
          <w:sz w:val="23"/>
          <w:szCs w:val="23"/>
        </w:rPr>
        <w:t>i denne boka.</w:t>
      </w:r>
    </w:p>
    <w:p w:rsidR="00073E16" w:rsidRDefault="00073E16" w:rsidP="00991639">
      <w:pPr>
        <w:rPr>
          <w:noProof w:val="0"/>
          <w:sz w:val="23"/>
          <w:szCs w:val="23"/>
        </w:rPr>
      </w:pPr>
    </w:p>
    <w:p w:rsidR="00073E16" w:rsidRDefault="00073E16" w:rsidP="00991639">
      <w:pPr>
        <w:rPr>
          <w:noProof w:val="0"/>
          <w:sz w:val="23"/>
          <w:szCs w:val="23"/>
        </w:rPr>
      </w:pPr>
      <w:r>
        <w:rPr>
          <w:noProof w:val="0"/>
          <w:sz w:val="23"/>
          <w:szCs w:val="23"/>
        </w:rPr>
        <w:t>Generelt øns</w:t>
      </w:r>
      <w:r w:rsidR="0058267B">
        <w:rPr>
          <w:noProof w:val="0"/>
          <w:sz w:val="23"/>
          <w:szCs w:val="23"/>
        </w:rPr>
        <w:t>k</w:t>
      </w:r>
      <w:r w:rsidR="00A65B87">
        <w:rPr>
          <w:noProof w:val="0"/>
          <w:sz w:val="23"/>
          <w:szCs w:val="23"/>
        </w:rPr>
        <w:t>er Presteforeningen</w:t>
      </w:r>
      <w:r>
        <w:rPr>
          <w:noProof w:val="0"/>
          <w:sz w:val="23"/>
          <w:szCs w:val="23"/>
        </w:rPr>
        <w:t xml:space="preserve"> å bli hørt i saker som angår presters daglige tjeneste. Når Bispemøtet kommer med veiledninger til presters tjeneste er dette typisk slike saker vi ønsker å høres på. Vi tror som tidligere nevnt</w:t>
      </w:r>
      <w:r w:rsidRPr="00073E16">
        <w:rPr>
          <w:noProof w:val="0"/>
          <w:sz w:val="23"/>
          <w:szCs w:val="23"/>
        </w:rPr>
        <w:t xml:space="preserve"> </w:t>
      </w:r>
      <w:r w:rsidR="003526C2">
        <w:rPr>
          <w:noProof w:val="0"/>
          <w:sz w:val="23"/>
          <w:szCs w:val="23"/>
        </w:rPr>
        <w:t xml:space="preserve">at </w:t>
      </w:r>
      <w:r w:rsidRPr="00073E16">
        <w:rPr>
          <w:noProof w:val="0"/>
          <w:sz w:val="23"/>
          <w:szCs w:val="23"/>
        </w:rPr>
        <w:t>noe bredere høringsgrunnlag en</w:t>
      </w:r>
      <w:r w:rsidR="003526C2">
        <w:rPr>
          <w:noProof w:val="0"/>
          <w:sz w:val="23"/>
          <w:szCs w:val="23"/>
        </w:rPr>
        <w:t>n</w:t>
      </w:r>
      <w:r w:rsidRPr="00073E16">
        <w:rPr>
          <w:noProof w:val="0"/>
          <w:sz w:val="23"/>
          <w:szCs w:val="23"/>
        </w:rPr>
        <w:t xml:space="preserve"> biskopene selv kunne bidratt positivt til utformingen</w:t>
      </w:r>
      <w:r>
        <w:rPr>
          <w:noProof w:val="0"/>
          <w:sz w:val="23"/>
          <w:szCs w:val="23"/>
        </w:rPr>
        <w:t xml:space="preserve"> av veiledningene</w:t>
      </w:r>
      <w:r w:rsidRPr="00073E16">
        <w:rPr>
          <w:noProof w:val="0"/>
          <w:sz w:val="23"/>
          <w:szCs w:val="23"/>
        </w:rPr>
        <w:t xml:space="preserve">. </w:t>
      </w:r>
    </w:p>
    <w:p w:rsidR="00073E16" w:rsidRDefault="00073E16" w:rsidP="00991639">
      <w:pPr>
        <w:rPr>
          <w:noProof w:val="0"/>
          <w:sz w:val="23"/>
          <w:szCs w:val="23"/>
        </w:rPr>
      </w:pPr>
    </w:p>
    <w:p w:rsidR="00073E16" w:rsidRDefault="00073E16" w:rsidP="00991639">
      <w:pPr>
        <w:rPr>
          <w:noProof w:val="0"/>
          <w:sz w:val="23"/>
          <w:szCs w:val="23"/>
        </w:rPr>
      </w:pPr>
      <w:r>
        <w:rPr>
          <w:noProof w:val="0"/>
          <w:sz w:val="23"/>
          <w:szCs w:val="23"/>
        </w:rPr>
        <w:t>Veiledningene, og særlig den om religionsmøter i kirkelige handlinger, har avfødt diskusjoner i flere fora. Reaksjonene tilsier at veiledningene snarere bør føre til samtaler, diskusjoner og videre refleksjon, heller enn å bli betraktet som siste ord i sakenes anledning. Prestefo</w:t>
      </w:r>
      <w:r w:rsidR="0058267B">
        <w:rPr>
          <w:noProof w:val="0"/>
          <w:sz w:val="23"/>
          <w:szCs w:val="23"/>
        </w:rPr>
        <w:t>r</w:t>
      </w:r>
      <w:r>
        <w:rPr>
          <w:noProof w:val="0"/>
          <w:sz w:val="23"/>
          <w:szCs w:val="23"/>
        </w:rPr>
        <w:t xml:space="preserve">eningen </w:t>
      </w:r>
      <w:r w:rsidR="00A65B87">
        <w:rPr>
          <w:noProof w:val="0"/>
          <w:sz w:val="23"/>
          <w:szCs w:val="23"/>
        </w:rPr>
        <w:t xml:space="preserve">vil bruke sine nettsider som et sted for slike diskusjoner, og </w:t>
      </w:r>
      <w:r>
        <w:rPr>
          <w:noProof w:val="0"/>
          <w:sz w:val="23"/>
          <w:szCs w:val="23"/>
        </w:rPr>
        <w:t>legger ut lenke til veiledningene sammen med kommentarer til dem og en oppfordring til videre samtale både lokalt og på våre nettsider.</w:t>
      </w:r>
      <w:r w:rsidR="00A65B87">
        <w:rPr>
          <w:noProof w:val="0"/>
          <w:sz w:val="23"/>
          <w:szCs w:val="23"/>
        </w:rPr>
        <w:t xml:space="preserve"> Vi h</w:t>
      </w:r>
      <w:r w:rsidR="0058267B">
        <w:rPr>
          <w:noProof w:val="0"/>
          <w:sz w:val="23"/>
          <w:szCs w:val="23"/>
        </w:rPr>
        <w:t>åper dette blir et konstruktivt bidrag til videre samtale om viktige problemstillinger.</w:t>
      </w:r>
    </w:p>
    <w:p w:rsidR="00AA0B9B" w:rsidRDefault="00AA0B9B" w:rsidP="00991639">
      <w:pPr>
        <w:rPr>
          <w:noProof w:val="0"/>
          <w:sz w:val="23"/>
          <w:szCs w:val="23"/>
        </w:rPr>
      </w:pPr>
    </w:p>
    <w:p w:rsidR="009B7BEB" w:rsidRPr="003A2862" w:rsidRDefault="009B7BEB" w:rsidP="009B7BEB">
      <w:pPr>
        <w:pStyle w:val="Brdtekst"/>
        <w:rPr>
          <w:szCs w:val="24"/>
        </w:rPr>
      </w:pPr>
    </w:p>
    <w:p w:rsidR="00E31415" w:rsidRPr="003A2862" w:rsidRDefault="00E31415">
      <w:pPr>
        <w:rPr>
          <w:noProof w:val="0"/>
          <w:sz w:val="24"/>
          <w:szCs w:val="24"/>
        </w:rPr>
      </w:pPr>
    </w:p>
    <w:p w:rsidR="00E31415" w:rsidRPr="003A2862" w:rsidRDefault="00E31415">
      <w:pPr>
        <w:rPr>
          <w:noProof w:val="0"/>
          <w:sz w:val="24"/>
          <w:szCs w:val="24"/>
        </w:rPr>
      </w:pPr>
      <w:r w:rsidRPr="003A2862">
        <w:rPr>
          <w:noProof w:val="0"/>
          <w:sz w:val="24"/>
          <w:szCs w:val="24"/>
        </w:rPr>
        <w:t>Vennlig hilsen</w:t>
      </w:r>
    </w:p>
    <w:p w:rsidR="00E31415" w:rsidRPr="003A2862" w:rsidRDefault="00186329">
      <w:pPr>
        <w:rPr>
          <w:noProof w:val="0"/>
          <w:sz w:val="24"/>
          <w:szCs w:val="24"/>
        </w:rPr>
      </w:pPr>
      <w:r>
        <w:rPr>
          <w:noProof w:val="0"/>
          <w:sz w:val="24"/>
          <w:szCs w:val="24"/>
        </w:rPr>
        <w:t>DEN NORSKE KIRKES PRESTEFORENING</w:t>
      </w:r>
    </w:p>
    <w:p w:rsidR="00E31415" w:rsidRDefault="00E31415">
      <w:pPr>
        <w:rPr>
          <w:noProof w:val="0"/>
          <w:sz w:val="24"/>
          <w:szCs w:val="24"/>
        </w:rPr>
      </w:pPr>
    </w:p>
    <w:p w:rsidR="00186329" w:rsidRDefault="00E17DFD">
      <w:pPr>
        <w:rPr>
          <w:noProof w:val="0"/>
          <w:sz w:val="24"/>
          <w:szCs w:val="24"/>
        </w:rPr>
      </w:pPr>
      <w:r w:rsidRPr="00E17DFD">
        <w:rPr>
          <w:rFonts w:ascii="Calibri" w:eastAsia="Calibri" w:hAnsi="Calibri"/>
          <w:sz w:val="22"/>
          <w:szCs w:val="22"/>
        </w:rPr>
        <w:drawing>
          <wp:inline distT="0" distB="0" distL="0" distR="0">
            <wp:extent cx="1162050" cy="55787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199548" cy="575879"/>
                    </a:xfrm>
                    <a:prstGeom prst="rect">
                      <a:avLst/>
                    </a:prstGeom>
                    <a:noFill/>
                    <a:ln>
                      <a:noFill/>
                    </a:ln>
                  </pic:spPr>
                </pic:pic>
              </a:graphicData>
            </a:graphic>
          </wp:inline>
        </w:drawing>
      </w:r>
    </w:p>
    <w:p w:rsidR="00186329" w:rsidRPr="003A2862" w:rsidRDefault="00186329">
      <w:pPr>
        <w:rPr>
          <w:noProof w:val="0"/>
          <w:sz w:val="24"/>
          <w:szCs w:val="24"/>
        </w:rPr>
      </w:pPr>
    </w:p>
    <w:p w:rsidR="005006CF" w:rsidRPr="003A2862" w:rsidRDefault="005006CF">
      <w:pPr>
        <w:rPr>
          <w:noProof w:val="0"/>
          <w:sz w:val="24"/>
          <w:szCs w:val="24"/>
        </w:rPr>
      </w:pPr>
      <w:r>
        <w:rPr>
          <w:noProof w:val="0"/>
          <w:sz w:val="24"/>
          <w:szCs w:val="24"/>
        </w:rPr>
        <w:t>Martin Enstad</w:t>
      </w:r>
      <w:r w:rsidR="00E17DFD">
        <w:rPr>
          <w:noProof w:val="0"/>
          <w:sz w:val="24"/>
          <w:szCs w:val="24"/>
        </w:rPr>
        <w:t xml:space="preserve">, </w:t>
      </w:r>
      <w:r>
        <w:rPr>
          <w:noProof w:val="0"/>
          <w:sz w:val="24"/>
          <w:szCs w:val="24"/>
        </w:rPr>
        <w:t>Leder</w:t>
      </w:r>
    </w:p>
    <w:sectPr w:rsidR="005006CF" w:rsidRPr="003A2862" w:rsidSect="003A2862">
      <w:pgSz w:w="11907" w:h="16840" w:code="9"/>
      <w:pgMar w:top="709"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7D" w:rsidRDefault="00BB2F7D">
      <w:r>
        <w:separator/>
      </w:r>
    </w:p>
  </w:endnote>
  <w:endnote w:type="continuationSeparator" w:id="0">
    <w:p w:rsidR="00BB2F7D" w:rsidRDefault="00BB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7D" w:rsidRDefault="00BB2F7D">
      <w:r>
        <w:separator/>
      </w:r>
    </w:p>
  </w:footnote>
  <w:footnote w:type="continuationSeparator" w:id="0">
    <w:p w:rsidR="00BB2F7D" w:rsidRDefault="00BB2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D8"/>
    <w:rsid w:val="00073E16"/>
    <w:rsid w:val="000C176E"/>
    <w:rsid w:val="001517C4"/>
    <w:rsid w:val="00154435"/>
    <w:rsid w:val="00155B2A"/>
    <w:rsid w:val="00186329"/>
    <w:rsid w:val="001B0FF3"/>
    <w:rsid w:val="001C0FFC"/>
    <w:rsid w:val="00294349"/>
    <w:rsid w:val="003526C2"/>
    <w:rsid w:val="003A2862"/>
    <w:rsid w:val="003F54EA"/>
    <w:rsid w:val="004606CB"/>
    <w:rsid w:val="0046097E"/>
    <w:rsid w:val="005006CF"/>
    <w:rsid w:val="0058267B"/>
    <w:rsid w:val="00592158"/>
    <w:rsid w:val="0060612A"/>
    <w:rsid w:val="00610F14"/>
    <w:rsid w:val="00633674"/>
    <w:rsid w:val="00721104"/>
    <w:rsid w:val="00761C7B"/>
    <w:rsid w:val="00991639"/>
    <w:rsid w:val="009B7BEB"/>
    <w:rsid w:val="00A65B87"/>
    <w:rsid w:val="00A97186"/>
    <w:rsid w:val="00AA0B9B"/>
    <w:rsid w:val="00AA6C8E"/>
    <w:rsid w:val="00AC1DB3"/>
    <w:rsid w:val="00B23CE0"/>
    <w:rsid w:val="00BB2F7D"/>
    <w:rsid w:val="00BC236E"/>
    <w:rsid w:val="00CB054E"/>
    <w:rsid w:val="00CE1CD8"/>
    <w:rsid w:val="00D63B96"/>
    <w:rsid w:val="00E17DFD"/>
    <w:rsid w:val="00E31415"/>
    <w:rsid w:val="00ED32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BCB2B0-7170-4CC5-BF6F-2196D026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Overskrift1">
    <w:name w:val="heading 1"/>
    <w:basedOn w:val="Normal"/>
    <w:next w:val="Normal"/>
    <w:qFormat/>
    <w:rsid w:val="00633674"/>
    <w:pPr>
      <w:keepNext/>
      <w:spacing w:before="360" w:after="60"/>
      <w:outlineLvl w:val="0"/>
    </w:pPr>
    <w:rPr>
      <w:kern w:val="28"/>
      <w:sz w:val="32"/>
    </w:rPr>
  </w:style>
  <w:style w:type="paragraph" w:styleId="Overskrift2">
    <w:name w:val="heading 2"/>
    <w:basedOn w:val="Normal"/>
    <w:next w:val="Normal"/>
    <w:qFormat/>
    <w:rsid w:val="00633674"/>
    <w:pPr>
      <w:keepNext/>
      <w:spacing w:before="240" w:after="20"/>
      <w:outlineLvl w:val="1"/>
    </w:pPr>
    <w:rPr>
      <w:b/>
      <w:sz w:val="24"/>
    </w:rPr>
  </w:style>
  <w:style w:type="paragraph" w:styleId="Overskrift3">
    <w:name w:val="heading 3"/>
    <w:basedOn w:val="Normal"/>
    <w:next w:val="Normal"/>
    <w:qFormat/>
    <w:rsid w:val="00633674"/>
    <w:pPr>
      <w:keepNext/>
      <w:spacing w:before="240" w:line="240" w:lineRule="atLeast"/>
      <w:outlineLvl w:val="2"/>
    </w:pPr>
    <w:rPr>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table" w:styleId="Tabellrutenett">
    <w:name w:val="Table Grid"/>
    <w:basedOn w:val="Vanligtabell"/>
    <w:rsid w:val="003A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CE1CD8"/>
    <w:pPr>
      <w:overflowPunct/>
      <w:autoSpaceDE/>
      <w:autoSpaceDN/>
      <w:adjustRightInd/>
      <w:jc w:val="both"/>
      <w:textAlignment w:val="auto"/>
    </w:pPr>
    <w:rPr>
      <w:noProof w:val="0"/>
      <w:sz w:val="24"/>
    </w:rPr>
  </w:style>
  <w:style w:type="character" w:customStyle="1" w:styleId="BrdtekstTegn">
    <w:name w:val="Brødtekst Tegn"/>
    <w:link w:val="Brdtekst"/>
    <w:rsid w:val="00CE1CD8"/>
    <w:rPr>
      <w:sz w:val="24"/>
    </w:rPr>
  </w:style>
  <w:style w:type="paragraph" w:styleId="Bobletekst">
    <w:name w:val="Balloon Text"/>
    <w:basedOn w:val="Normal"/>
    <w:link w:val="BobletekstTegn"/>
    <w:uiPriority w:val="99"/>
    <w:semiHidden/>
    <w:unhideWhenUsed/>
    <w:rsid w:val="00721104"/>
    <w:rPr>
      <w:rFonts w:ascii="Tahoma" w:hAnsi="Tahoma" w:cs="Tahoma"/>
      <w:sz w:val="16"/>
      <w:szCs w:val="16"/>
    </w:rPr>
  </w:style>
  <w:style w:type="character" w:customStyle="1" w:styleId="BobletekstTegn">
    <w:name w:val="Bobletekst Tegn"/>
    <w:link w:val="Bobletekst"/>
    <w:uiPriority w:val="99"/>
    <w:semiHidden/>
    <w:rsid w:val="0072110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LabOra\Saksbehandler\Templates\A0000180\MAL1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MAL11.DOT</Template>
  <TotalTime>1</TotalTime>
  <Pages>2</Pages>
  <Words>778</Words>
  <Characters>4430</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&lt;&lt;Avsender&gt;&gt;</vt:lpstr>
    </vt:vector>
  </TitlesOfParts>
  <Company>Duplo Data AS</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&lt;&lt;Avsender&gt;&gt;</dc:title>
  <dc:subject/>
  <dc:creator>ojh</dc:creator>
  <cp:keywords/>
  <cp:lastModifiedBy>Per Kristian H. Sætre</cp:lastModifiedBy>
  <cp:revision>2</cp:revision>
  <cp:lastPrinted>2016-05-20T10:07:00Z</cp:lastPrinted>
  <dcterms:created xsi:type="dcterms:W3CDTF">2016-05-30T13:16:00Z</dcterms:created>
  <dcterms:modified xsi:type="dcterms:W3CDTF">2016-05-30T13:16:00Z</dcterms:modified>
</cp:coreProperties>
</file>